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5E" w:rsidRPr="00A1740B" w:rsidRDefault="00F8720D">
      <w:pPr>
        <w:rPr>
          <w:b/>
          <w:sz w:val="24"/>
        </w:rPr>
      </w:pPr>
      <w:r w:rsidRPr="00A1740B">
        <w:rPr>
          <w:b/>
          <w:sz w:val="24"/>
        </w:rPr>
        <w:t>Предложения по обеспечению неистощительности лесопользования в рамках нормативно-правового регулирования исчисления расчетной лесосеки</w:t>
      </w:r>
    </w:p>
    <w:p w:rsidR="00192181" w:rsidRDefault="00192181"/>
    <w:tbl>
      <w:tblPr>
        <w:tblStyle w:val="a3"/>
        <w:tblW w:w="15114" w:type="dxa"/>
        <w:tblLook w:val="04A0"/>
      </w:tblPr>
      <w:tblGrid>
        <w:gridCol w:w="546"/>
        <w:gridCol w:w="3673"/>
        <w:gridCol w:w="4265"/>
        <w:gridCol w:w="3543"/>
        <w:gridCol w:w="3087"/>
      </w:tblGrid>
      <w:tr w:rsidR="00C16FFE" w:rsidRPr="00A1740B" w:rsidTr="00C16FFE">
        <w:tc>
          <w:tcPr>
            <w:tcW w:w="546" w:type="dxa"/>
          </w:tcPr>
          <w:p w:rsidR="00C16FFE" w:rsidRPr="00A1740B" w:rsidRDefault="00C16FFE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73" w:type="dxa"/>
          </w:tcPr>
          <w:p w:rsidR="00C16FFE" w:rsidRPr="00A1740B" w:rsidRDefault="00C16FFE">
            <w:pPr>
              <w:rPr>
                <w:b/>
              </w:rPr>
            </w:pPr>
            <w:r w:rsidRPr="00A1740B">
              <w:rPr>
                <w:b/>
              </w:rPr>
              <w:t>Описание проблемы</w:t>
            </w:r>
          </w:p>
        </w:tc>
        <w:tc>
          <w:tcPr>
            <w:tcW w:w="4265" w:type="dxa"/>
          </w:tcPr>
          <w:p w:rsidR="00C16FFE" w:rsidRPr="00A1740B" w:rsidRDefault="00C16FFE">
            <w:pPr>
              <w:rPr>
                <w:b/>
              </w:rPr>
            </w:pPr>
            <w:r w:rsidRPr="00A1740B">
              <w:rPr>
                <w:b/>
              </w:rPr>
              <w:t>Предложения</w:t>
            </w:r>
          </w:p>
        </w:tc>
        <w:tc>
          <w:tcPr>
            <w:tcW w:w="3543" w:type="dxa"/>
          </w:tcPr>
          <w:p w:rsidR="00C16FFE" w:rsidRPr="00A1740B" w:rsidRDefault="00C16FFE">
            <w:pPr>
              <w:rPr>
                <w:b/>
              </w:rPr>
            </w:pPr>
            <w:r w:rsidRPr="00A1740B">
              <w:rPr>
                <w:b/>
              </w:rPr>
              <w:t>Регулирующее воздействие</w:t>
            </w:r>
          </w:p>
        </w:tc>
        <w:tc>
          <w:tcPr>
            <w:tcW w:w="3087" w:type="dxa"/>
          </w:tcPr>
          <w:p w:rsidR="00C16FFE" w:rsidRPr="00A1740B" w:rsidRDefault="00C16FFE">
            <w:pPr>
              <w:rPr>
                <w:b/>
              </w:rPr>
            </w:pPr>
            <w:r w:rsidRPr="00A1740B">
              <w:rPr>
                <w:b/>
              </w:rPr>
              <w:t>Статус</w:t>
            </w:r>
          </w:p>
        </w:tc>
      </w:tr>
      <w:tr w:rsidR="00C16FFE" w:rsidTr="00C16FFE">
        <w:tc>
          <w:tcPr>
            <w:tcW w:w="546" w:type="dxa"/>
          </w:tcPr>
          <w:p w:rsidR="00C16FFE" w:rsidRDefault="00C16FFE">
            <w:r>
              <w:t>1</w:t>
            </w:r>
          </w:p>
        </w:tc>
        <w:tc>
          <w:tcPr>
            <w:tcW w:w="3673" w:type="dxa"/>
          </w:tcPr>
          <w:p w:rsidR="00C16FFE" w:rsidRDefault="00C16FFE">
            <w:r>
              <w:t>Учет новых нормативов по рубкам ухода для интенсивной модели</w:t>
            </w:r>
          </w:p>
        </w:tc>
        <w:tc>
          <w:tcPr>
            <w:tcW w:w="4265" w:type="dxa"/>
          </w:tcPr>
          <w:p w:rsidR="00C16FFE" w:rsidRDefault="00C16FFE" w:rsidP="00042350">
            <w:r>
              <w:t>Определение расчетной лесосеки по рубкам ухода отдельно по арендным участкам. Максимизация использования прироста древостоев</w:t>
            </w:r>
          </w:p>
        </w:tc>
        <w:tc>
          <w:tcPr>
            <w:tcW w:w="3543" w:type="dxa"/>
          </w:tcPr>
          <w:p w:rsidR="00C16FFE" w:rsidRDefault="00C16FFE" w:rsidP="00042350">
            <w:r>
              <w:t>Потенциально увеличение заготовки для всей страны по рубкам ухода до 60 млн. куб</w:t>
            </w:r>
            <w:proofErr w:type="gramStart"/>
            <w:r>
              <w:t>.м</w:t>
            </w:r>
            <w:proofErr w:type="gramEnd"/>
            <w:r>
              <w:t xml:space="preserve"> в год. Улучшение качества лесов</w:t>
            </w:r>
          </w:p>
        </w:tc>
        <w:tc>
          <w:tcPr>
            <w:tcW w:w="3087" w:type="dxa"/>
          </w:tcPr>
          <w:p w:rsidR="00C16FFE" w:rsidRDefault="00C16FFE">
            <w:r>
              <w:t>Включено в текущий проект НПА по расчетной лесосеке</w:t>
            </w:r>
          </w:p>
        </w:tc>
      </w:tr>
      <w:tr w:rsidR="00C16FFE" w:rsidTr="00C16FFE">
        <w:tc>
          <w:tcPr>
            <w:tcW w:w="546" w:type="dxa"/>
          </w:tcPr>
          <w:p w:rsidR="00C16FFE" w:rsidRDefault="00C16FFE">
            <w:r>
              <w:t>2</w:t>
            </w:r>
          </w:p>
        </w:tc>
        <w:tc>
          <w:tcPr>
            <w:tcW w:w="3673" w:type="dxa"/>
          </w:tcPr>
          <w:p w:rsidR="00C16FFE" w:rsidRDefault="00C16FFE">
            <w:r>
              <w:t>Значительные колебания заготовки в защитных лесах</w:t>
            </w:r>
          </w:p>
        </w:tc>
        <w:tc>
          <w:tcPr>
            <w:tcW w:w="4265" w:type="dxa"/>
          </w:tcPr>
          <w:p w:rsidR="00C16FFE" w:rsidRDefault="00C16FFE" w:rsidP="00D74456">
            <w:r>
              <w:t>Учитывать неистощительность при планировании объемов постепенных рубок по схеме сплошных рубок</w:t>
            </w:r>
          </w:p>
        </w:tc>
        <w:tc>
          <w:tcPr>
            <w:tcW w:w="3543" w:type="dxa"/>
          </w:tcPr>
          <w:p w:rsidR="00C16FFE" w:rsidRDefault="00C16FFE">
            <w:r>
              <w:t>Снижение экологического ущерба в защитных лесах</w:t>
            </w:r>
          </w:p>
        </w:tc>
        <w:tc>
          <w:tcPr>
            <w:tcW w:w="3087" w:type="dxa"/>
          </w:tcPr>
          <w:p w:rsidR="00C16FFE" w:rsidRDefault="00C16FFE">
            <w:r>
              <w:t>Включено в текущий проект НПА по расчетной лесосеке</w:t>
            </w:r>
          </w:p>
        </w:tc>
      </w:tr>
      <w:tr w:rsidR="00C16FFE" w:rsidTr="00C16FFE">
        <w:tc>
          <w:tcPr>
            <w:tcW w:w="546" w:type="dxa"/>
          </w:tcPr>
          <w:p w:rsidR="00C16FFE" w:rsidRDefault="00C16FFE">
            <w:r>
              <w:t>3</w:t>
            </w:r>
          </w:p>
        </w:tc>
        <w:tc>
          <w:tcPr>
            <w:tcW w:w="3673" w:type="dxa"/>
          </w:tcPr>
          <w:p w:rsidR="00C16FFE" w:rsidRDefault="00C16FFE">
            <w:r>
              <w:t>Существующие формулы для исчисления расчетной лесосеки по сплошным рубкам не гарантируют обеспечение неистощительности на оборот рубки</w:t>
            </w:r>
          </w:p>
        </w:tc>
        <w:tc>
          <w:tcPr>
            <w:tcW w:w="4265" w:type="dxa"/>
          </w:tcPr>
          <w:p w:rsidR="00C16FFE" w:rsidRDefault="00C16FFE" w:rsidP="00A03CE1">
            <w:r>
              <w:t>Применение формулы неистощительного лесопользования, основанной на методе анализа приспевания</w:t>
            </w:r>
          </w:p>
        </w:tc>
        <w:tc>
          <w:tcPr>
            <w:tcW w:w="3543" w:type="dxa"/>
          </w:tcPr>
          <w:p w:rsidR="00C16FFE" w:rsidRDefault="00C16FFE">
            <w:r>
              <w:t>Установление объемов лесопользования, гарантирующих неистощительность на цикл хозяйства.</w:t>
            </w:r>
          </w:p>
          <w:p w:rsidR="00C16FFE" w:rsidRDefault="00147339" w:rsidP="00F636D2">
            <w:r>
              <w:t>О</w:t>
            </w:r>
            <w:r w:rsidR="00C16FFE">
              <w:t>пределение расчетной лесосеки</w:t>
            </w:r>
            <w:r>
              <w:t xml:space="preserve"> по единой формуле</w:t>
            </w:r>
          </w:p>
        </w:tc>
        <w:tc>
          <w:tcPr>
            <w:tcW w:w="3087" w:type="dxa"/>
          </w:tcPr>
          <w:p w:rsidR="00C16FFE" w:rsidRDefault="00C16FFE">
            <w:r>
              <w:t xml:space="preserve">Разработано в рамках НИР. </w:t>
            </w:r>
            <w:proofErr w:type="gramStart"/>
            <w:r>
              <w:t>Возможно</w:t>
            </w:r>
            <w:proofErr w:type="gramEnd"/>
            <w:r>
              <w:t xml:space="preserve"> включить в НПА</w:t>
            </w:r>
          </w:p>
        </w:tc>
      </w:tr>
      <w:tr w:rsidR="00C16FFE" w:rsidTr="00C16FFE">
        <w:tc>
          <w:tcPr>
            <w:tcW w:w="546" w:type="dxa"/>
          </w:tcPr>
          <w:p w:rsidR="00C16FFE" w:rsidRDefault="00C16FFE">
            <w:r>
              <w:t>4</w:t>
            </w:r>
          </w:p>
        </w:tc>
        <w:tc>
          <w:tcPr>
            <w:tcW w:w="3673" w:type="dxa"/>
          </w:tcPr>
          <w:p w:rsidR="00C16FFE" w:rsidRDefault="00C16FFE">
            <w:r>
              <w:t>Использование минимального возраста рубки в расчетах приводит к завышению расчетной лесосеки на 7-20%</w:t>
            </w:r>
          </w:p>
        </w:tc>
        <w:tc>
          <w:tcPr>
            <w:tcW w:w="4265" w:type="dxa"/>
          </w:tcPr>
          <w:p w:rsidR="00C16FFE" w:rsidRDefault="00C16FFE">
            <w:r>
              <w:t xml:space="preserve">Использование в формулах </w:t>
            </w:r>
            <w:r w:rsidR="00147339">
              <w:t xml:space="preserve">значения </w:t>
            </w:r>
            <w:r>
              <w:t>оборота рубки</w:t>
            </w:r>
            <w:r w:rsidR="00147339">
              <w:t xml:space="preserve"> вместо возраста рубки</w:t>
            </w:r>
            <w:r>
              <w:t>, установленного по хозсекциям</w:t>
            </w:r>
          </w:p>
        </w:tc>
        <w:tc>
          <w:tcPr>
            <w:tcW w:w="3543" w:type="dxa"/>
          </w:tcPr>
          <w:p w:rsidR="00C16FFE" w:rsidRDefault="00C16FFE">
            <w:r>
              <w:t>Установление объемов лесопользования, гарантирующих неистощительность на цикл хозяйства</w:t>
            </w:r>
          </w:p>
        </w:tc>
        <w:tc>
          <w:tcPr>
            <w:tcW w:w="3087" w:type="dxa"/>
          </w:tcPr>
          <w:p w:rsidR="00C16FFE" w:rsidRDefault="00C16FFE">
            <w:r>
              <w:t xml:space="preserve">Разработано в рамках НИР. </w:t>
            </w:r>
            <w:proofErr w:type="gramStart"/>
            <w:r>
              <w:t>Возможно</w:t>
            </w:r>
            <w:proofErr w:type="gramEnd"/>
            <w:r>
              <w:t xml:space="preserve"> включить в НПА</w:t>
            </w:r>
          </w:p>
        </w:tc>
      </w:tr>
      <w:tr w:rsidR="00C16FFE" w:rsidTr="00C16FFE">
        <w:tc>
          <w:tcPr>
            <w:tcW w:w="546" w:type="dxa"/>
          </w:tcPr>
          <w:p w:rsidR="00C16FFE" w:rsidRDefault="00C16FFE">
            <w:r>
              <w:t>5</w:t>
            </w:r>
          </w:p>
        </w:tc>
        <w:tc>
          <w:tcPr>
            <w:tcW w:w="3673" w:type="dxa"/>
          </w:tcPr>
          <w:p w:rsidR="00C16FFE" w:rsidRDefault="00C16FFE">
            <w:r>
              <w:t>Отсутствие разделения по хозсекциям на этапе контроля использования расчетной лесосеки приводит к постоянному перерубу наиболее продуктивных насаждений за счет низкопродуктивных</w:t>
            </w:r>
          </w:p>
        </w:tc>
        <w:tc>
          <w:tcPr>
            <w:tcW w:w="4265" w:type="dxa"/>
          </w:tcPr>
          <w:p w:rsidR="00C16FFE" w:rsidRDefault="00C16FFE" w:rsidP="00B776CE">
            <w:r>
              <w:t>Формирование групп хозсекций, близких по хозяйственной ценности и продуктивности, для сквозного расчета и контроля расчетной лесосеки</w:t>
            </w:r>
          </w:p>
        </w:tc>
        <w:tc>
          <w:tcPr>
            <w:tcW w:w="3543" w:type="dxa"/>
          </w:tcPr>
          <w:p w:rsidR="00C16FFE" w:rsidRDefault="00C16FFE" w:rsidP="00B776CE">
            <w:r>
              <w:t>Устранение перерубов и установление неистощительности по факту для наиболее ценных и продуктивных насаждений</w:t>
            </w:r>
          </w:p>
        </w:tc>
        <w:tc>
          <w:tcPr>
            <w:tcW w:w="3087" w:type="dxa"/>
          </w:tcPr>
          <w:p w:rsidR="00C16FFE" w:rsidRDefault="00C16FFE">
            <w:r>
              <w:t xml:space="preserve">Разработано в рамках НИР. </w:t>
            </w:r>
            <w:proofErr w:type="gramStart"/>
            <w:r>
              <w:t>Возможно</w:t>
            </w:r>
            <w:proofErr w:type="gramEnd"/>
            <w:r>
              <w:t xml:space="preserve"> включить в НПА</w:t>
            </w:r>
          </w:p>
        </w:tc>
      </w:tr>
      <w:tr w:rsidR="00C16FFE" w:rsidTr="00C16FFE">
        <w:tc>
          <w:tcPr>
            <w:tcW w:w="546" w:type="dxa"/>
          </w:tcPr>
          <w:p w:rsidR="00C16FFE" w:rsidRDefault="00C16FFE" w:rsidP="004478D7">
            <w:r>
              <w:t>6</w:t>
            </w:r>
          </w:p>
        </w:tc>
        <w:tc>
          <w:tcPr>
            <w:tcW w:w="3673" w:type="dxa"/>
          </w:tcPr>
          <w:p w:rsidR="00C16FFE" w:rsidRDefault="00C16FFE" w:rsidP="004478D7">
            <w:r>
              <w:t>Распределение расчетной лесосеки по сплошным рубкам от лесничества к арендаторам не</w:t>
            </w:r>
            <w:r w:rsidR="00147339">
              <w:t xml:space="preserve"> гарантирует соблюдения принципа</w:t>
            </w:r>
            <w:r>
              <w:t xml:space="preserve"> неистощительности по арендным </w:t>
            </w:r>
            <w:r>
              <w:lastRenderedPageBreak/>
              <w:t>участкам</w:t>
            </w:r>
          </w:p>
        </w:tc>
        <w:tc>
          <w:tcPr>
            <w:tcW w:w="4265" w:type="dxa"/>
          </w:tcPr>
          <w:p w:rsidR="00C16FFE" w:rsidRDefault="00C16FFE" w:rsidP="004478D7">
            <w:r>
              <w:lastRenderedPageBreak/>
              <w:t>Применение единой формулы на уровне арендного участка.</w:t>
            </w:r>
          </w:p>
          <w:p w:rsidR="00C16FFE" w:rsidRDefault="00C16FFE" w:rsidP="004478D7"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по результатам расчета из-за малой площади арендного участка расчетная лесосека не удовлетворяет </w:t>
            </w:r>
            <w:r>
              <w:lastRenderedPageBreak/>
              <w:t>арендатора, то этот участок не передается в аренду</w:t>
            </w:r>
            <w:r w:rsidR="00147339">
              <w:t xml:space="preserve"> или см. п.7</w:t>
            </w:r>
          </w:p>
        </w:tc>
        <w:tc>
          <w:tcPr>
            <w:tcW w:w="3543" w:type="dxa"/>
          </w:tcPr>
          <w:p w:rsidR="00C16FFE" w:rsidRDefault="00C16FFE" w:rsidP="004478D7">
            <w:r>
              <w:lastRenderedPageBreak/>
              <w:t>Установление неистощительности на уровне арендных участков</w:t>
            </w:r>
          </w:p>
        </w:tc>
        <w:tc>
          <w:tcPr>
            <w:tcW w:w="3087" w:type="dxa"/>
          </w:tcPr>
          <w:p w:rsidR="00C16FFE" w:rsidRDefault="00C16FFE">
            <w:r>
              <w:t>Новое предложение.</w:t>
            </w:r>
          </w:p>
          <w:p w:rsidR="00C16FFE" w:rsidRDefault="00C16FFE">
            <w:r>
              <w:t>Необходима редакция проекта НПА</w:t>
            </w:r>
          </w:p>
        </w:tc>
      </w:tr>
      <w:tr w:rsidR="00C16FFE" w:rsidTr="00C16FFE">
        <w:tc>
          <w:tcPr>
            <w:tcW w:w="546" w:type="dxa"/>
          </w:tcPr>
          <w:p w:rsidR="00C16FFE" w:rsidRDefault="00C16FFE" w:rsidP="00A47C5C">
            <w:r>
              <w:lastRenderedPageBreak/>
              <w:t>7</w:t>
            </w:r>
          </w:p>
        </w:tc>
        <w:tc>
          <w:tcPr>
            <w:tcW w:w="3673" w:type="dxa"/>
          </w:tcPr>
          <w:p w:rsidR="00C16FFE" w:rsidRDefault="00C16FFE" w:rsidP="00A47C5C">
            <w:r>
              <w:t>Практика наличия нескольких договоров аренды в одном лесничестве для одного арендатора снижает объемы лесопользования и усложняет соблюдение неистощительности</w:t>
            </w:r>
          </w:p>
        </w:tc>
        <w:tc>
          <w:tcPr>
            <w:tcW w:w="4265" w:type="dxa"/>
          </w:tcPr>
          <w:p w:rsidR="00C16FFE" w:rsidRDefault="00C16FFE" w:rsidP="00A47C5C">
            <w:r>
              <w:t>Определение и контроль неистощительной расчетной лесосеки в целом по всем арендным участкам в пределах лесничества для одного арендатора</w:t>
            </w:r>
          </w:p>
        </w:tc>
        <w:tc>
          <w:tcPr>
            <w:tcW w:w="3543" w:type="dxa"/>
          </w:tcPr>
          <w:p w:rsidR="00C16FFE" w:rsidRDefault="00C16FFE" w:rsidP="00A47C5C">
            <w:r>
              <w:t>Улучшение условий выполнения неистощительности.</w:t>
            </w:r>
          </w:p>
          <w:p w:rsidR="00C16FFE" w:rsidRDefault="00C16FFE" w:rsidP="00A47C5C">
            <w:r>
              <w:t>Увеличение объем лесозаготовительной и лесохозяйственной деятельности</w:t>
            </w:r>
          </w:p>
        </w:tc>
        <w:tc>
          <w:tcPr>
            <w:tcW w:w="3087" w:type="dxa"/>
          </w:tcPr>
          <w:p w:rsidR="00C16FFE" w:rsidRDefault="00C16FFE" w:rsidP="00A47C5C">
            <w:r>
              <w:t>Новое предложение.</w:t>
            </w:r>
          </w:p>
          <w:p w:rsidR="00C16FFE" w:rsidRDefault="00C16FFE" w:rsidP="00A47C5C">
            <w:r>
              <w:t>Требует также внесения изменений в другие НПА (типовой договор аренды и т.п.)</w:t>
            </w:r>
          </w:p>
        </w:tc>
      </w:tr>
      <w:tr w:rsidR="00C16FFE" w:rsidTr="00C16FFE">
        <w:tc>
          <w:tcPr>
            <w:tcW w:w="546" w:type="dxa"/>
          </w:tcPr>
          <w:p w:rsidR="00C16FFE" w:rsidRDefault="00C16FFE">
            <w:r>
              <w:t>8</w:t>
            </w:r>
          </w:p>
        </w:tc>
        <w:tc>
          <w:tcPr>
            <w:tcW w:w="3673" w:type="dxa"/>
          </w:tcPr>
          <w:p w:rsidR="00C16FFE" w:rsidRDefault="00C16FFE">
            <w:r>
              <w:t>Регулярные и большие объемы санитарных рубок нарушают неистощительность</w:t>
            </w:r>
          </w:p>
        </w:tc>
        <w:tc>
          <w:tcPr>
            <w:tcW w:w="4265" w:type="dxa"/>
          </w:tcPr>
          <w:p w:rsidR="00C16FFE" w:rsidRDefault="00C16FFE" w:rsidP="008C025C">
            <w:r>
              <w:t>Учитывать ежегодный объем заготовленной деловой древесины по санитарным рубкам в ежегодном объеме заготовки по хозсекциям с контролем непревышения расчетной лесосеки по сплошным рубкам</w:t>
            </w:r>
          </w:p>
        </w:tc>
        <w:tc>
          <w:tcPr>
            <w:tcW w:w="3543" w:type="dxa"/>
          </w:tcPr>
          <w:p w:rsidR="00C16FFE" w:rsidRDefault="00C16FFE" w:rsidP="008C025C">
            <w:r>
              <w:t>Регулирования использования санитарных рубок в пределах неистощительного объема лесопользования</w:t>
            </w:r>
          </w:p>
        </w:tc>
        <w:tc>
          <w:tcPr>
            <w:tcW w:w="3087" w:type="dxa"/>
          </w:tcPr>
          <w:p w:rsidR="00C16FFE" w:rsidRDefault="00C16FFE">
            <w:r>
              <w:t>Новое предложение.</w:t>
            </w:r>
          </w:p>
          <w:p w:rsidR="00C16FFE" w:rsidRDefault="00C16FFE" w:rsidP="008C025C">
            <w:r>
              <w:t>Нуждается в разработке и детализации (например, по кедру расчетная лесосека по сплошным рубкам отсутствует)</w:t>
            </w:r>
          </w:p>
        </w:tc>
      </w:tr>
      <w:tr w:rsidR="00C16FFE" w:rsidTr="00C16FFE">
        <w:tc>
          <w:tcPr>
            <w:tcW w:w="546" w:type="dxa"/>
          </w:tcPr>
          <w:p w:rsidR="00C16FFE" w:rsidRDefault="00C16FFE" w:rsidP="00F95E77">
            <w:r>
              <w:t>9</w:t>
            </w:r>
          </w:p>
        </w:tc>
        <w:tc>
          <w:tcPr>
            <w:tcW w:w="3673" w:type="dxa"/>
          </w:tcPr>
          <w:p w:rsidR="00C16FFE" w:rsidRDefault="00C16FFE" w:rsidP="00147339">
            <w:r>
              <w:t xml:space="preserve">Очень большая доля лесных культур зарастает лиственными породами, но в системе учета и </w:t>
            </w:r>
            <w:r w:rsidR="00147339">
              <w:t>планирования числится хвойными, что приводит к н</w:t>
            </w:r>
            <w:r>
              <w:t>еобоснованно</w:t>
            </w:r>
            <w:r w:rsidR="00147339">
              <w:t>му</w:t>
            </w:r>
            <w:r>
              <w:t xml:space="preserve"> увеличени</w:t>
            </w:r>
            <w:r w:rsidR="00147339">
              <w:t>ю</w:t>
            </w:r>
            <w:r>
              <w:t xml:space="preserve"> расчетной лесосеки по хвойным</w:t>
            </w:r>
            <w:r w:rsidR="00147339">
              <w:t xml:space="preserve"> породам</w:t>
            </w:r>
          </w:p>
        </w:tc>
        <w:tc>
          <w:tcPr>
            <w:tcW w:w="4265" w:type="dxa"/>
          </w:tcPr>
          <w:p w:rsidR="00C16FFE" w:rsidRDefault="00C16FFE" w:rsidP="00F95E77">
            <w:r>
              <w:t>Определять преобладающую породу и планировать мероприятия по фактическим запасам пород.</w:t>
            </w:r>
          </w:p>
          <w:p w:rsidR="00C16FFE" w:rsidRDefault="00C16FFE" w:rsidP="00F95E77">
            <w:r>
              <w:t>Применение единой формулы, учитывающей площади всех классов возраста</w:t>
            </w:r>
          </w:p>
        </w:tc>
        <w:tc>
          <w:tcPr>
            <w:tcW w:w="3543" w:type="dxa"/>
          </w:tcPr>
          <w:p w:rsidR="00C16FFE" w:rsidRDefault="00C16FFE">
            <w:r>
              <w:t>Стимулирование проведения уходов в молодняках. Гарантирование неистощительности на оборот рубки для хвойных пород</w:t>
            </w:r>
          </w:p>
        </w:tc>
        <w:tc>
          <w:tcPr>
            <w:tcW w:w="3087" w:type="dxa"/>
          </w:tcPr>
          <w:p w:rsidR="00C16FFE" w:rsidRDefault="00C16FFE">
            <w:r>
              <w:t>Новое предложение.</w:t>
            </w:r>
          </w:p>
          <w:p w:rsidR="00C16FFE" w:rsidRDefault="00C16FFE" w:rsidP="00532B64">
            <w:r>
              <w:t>Требует также внесения изменений в Лесоустроительную инструкцию</w:t>
            </w:r>
          </w:p>
        </w:tc>
      </w:tr>
      <w:tr w:rsidR="007B516E" w:rsidRPr="007B516E" w:rsidTr="00C16FFE">
        <w:tc>
          <w:tcPr>
            <w:tcW w:w="546" w:type="dxa"/>
          </w:tcPr>
          <w:p w:rsidR="00C20EA7" w:rsidRPr="00147339" w:rsidRDefault="00BE6693" w:rsidP="00F95E77">
            <w:r w:rsidRPr="00147339">
              <w:t>10</w:t>
            </w:r>
          </w:p>
        </w:tc>
        <w:tc>
          <w:tcPr>
            <w:tcW w:w="3673" w:type="dxa"/>
          </w:tcPr>
          <w:p w:rsidR="00C20EA7" w:rsidRPr="00147339" w:rsidRDefault="00A82ECB" w:rsidP="00F95E77">
            <w:r w:rsidRPr="00147339">
              <w:t xml:space="preserve">Заниженные запасы в данных лесоустройства </w:t>
            </w:r>
            <w:r w:rsidR="009B68CB" w:rsidRPr="00147339">
              <w:t xml:space="preserve">приводят к занижению </w:t>
            </w:r>
            <w:r w:rsidR="00D020B3" w:rsidRPr="00147339">
              <w:t xml:space="preserve">расчетной лесосеки по запасу через использование </w:t>
            </w:r>
            <w:r w:rsidR="0092570B" w:rsidRPr="00147339">
              <w:t xml:space="preserve">среднего запаса спелых и </w:t>
            </w:r>
            <w:r w:rsidR="00480BFD" w:rsidRPr="00147339">
              <w:t>перестойных и ограничение по среднему приросту</w:t>
            </w:r>
          </w:p>
        </w:tc>
        <w:tc>
          <w:tcPr>
            <w:tcW w:w="4265" w:type="dxa"/>
          </w:tcPr>
          <w:p w:rsidR="00C20EA7" w:rsidRPr="00147339" w:rsidRDefault="0001349A" w:rsidP="00F95E77">
            <w:r w:rsidRPr="00147339">
              <w:t xml:space="preserve">Рассмотреть возможность использования данных ГИЛ для корректировки среднего запаса спелых </w:t>
            </w:r>
            <w:r w:rsidR="00CF207D" w:rsidRPr="00147339">
              <w:t>и перестойных и среднего прироста при исчислении расчетной лесосеки</w:t>
            </w:r>
          </w:p>
        </w:tc>
        <w:tc>
          <w:tcPr>
            <w:tcW w:w="3543" w:type="dxa"/>
          </w:tcPr>
          <w:p w:rsidR="00C20EA7" w:rsidRPr="00147339" w:rsidRDefault="00B64D8B">
            <w:r w:rsidRPr="00147339">
              <w:t xml:space="preserve">Более полное использование фактических запасов насаждений. Компенсация уменьшения расчетной лесосеки при </w:t>
            </w:r>
            <w:r w:rsidR="00EE1692" w:rsidRPr="00147339">
              <w:t xml:space="preserve">строгом соблюдении условий неистощительности. </w:t>
            </w:r>
          </w:p>
        </w:tc>
        <w:tc>
          <w:tcPr>
            <w:tcW w:w="3087" w:type="dxa"/>
          </w:tcPr>
          <w:p w:rsidR="00C20EA7" w:rsidRPr="00147339" w:rsidRDefault="00EE1692">
            <w:r w:rsidRPr="00147339">
              <w:t xml:space="preserve">Новое предложение. </w:t>
            </w:r>
          </w:p>
          <w:p w:rsidR="00EE1692" w:rsidRPr="00147339" w:rsidRDefault="00EE1692">
            <w:r w:rsidRPr="00147339">
              <w:t>Предлагается к обсуждению и детализации</w:t>
            </w:r>
          </w:p>
        </w:tc>
      </w:tr>
      <w:tr w:rsidR="007B516E" w:rsidRPr="007B516E" w:rsidTr="00C16FFE">
        <w:tc>
          <w:tcPr>
            <w:tcW w:w="546" w:type="dxa"/>
          </w:tcPr>
          <w:p w:rsidR="00176BDC" w:rsidRPr="00147339" w:rsidRDefault="00176BDC" w:rsidP="00F95E77">
            <w:r w:rsidRPr="00147339">
              <w:t>11</w:t>
            </w:r>
          </w:p>
        </w:tc>
        <w:tc>
          <w:tcPr>
            <w:tcW w:w="3673" w:type="dxa"/>
          </w:tcPr>
          <w:p w:rsidR="00176BDC" w:rsidRPr="00147339" w:rsidRDefault="005F505C" w:rsidP="00F95E77">
            <w:r w:rsidRPr="00147339">
              <w:t xml:space="preserve">Применение предлагаемых изменений и, в частности, единой формулы требует необходимости пересчета расчетной лесосеки и изменения большого количества </w:t>
            </w:r>
            <w:r w:rsidR="00DE23E1" w:rsidRPr="00147339">
              <w:t xml:space="preserve">документов разного уровня от </w:t>
            </w:r>
            <w:r w:rsidR="00DE23E1" w:rsidRPr="00147339">
              <w:lastRenderedPageBreak/>
              <w:t>лесных планов до договоров аренды</w:t>
            </w:r>
          </w:p>
        </w:tc>
        <w:tc>
          <w:tcPr>
            <w:tcW w:w="4265" w:type="dxa"/>
          </w:tcPr>
          <w:p w:rsidR="00176BDC" w:rsidRPr="00147339" w:rsidRDefault="00AE5F0B" w:rsidP="00F95E77">
            <w:r w:rsidRPr="00147339">
              <w:lastRenderedPageBreak/>
              <w:t>Увязать начало применения единой формулы с проведением нового лесоустройства по лесничествам</w:t>
            </w:r>
          </w:p>
        </w:tc>
        <w:tc>
          <w:tcPr>
            <w:tcW w:w="3543" w:type="dxa"/>
          </w:tcPr>
          <w:p w:rsidR="00176BDC" w:rsidRPr="00147339" w:rsidRDefault="005963BB">
            <w:r w:rsidRPr="00147339">
              <w:t xml:space="preserve">Обеспечение плавного перехода на новые нормы. Распределение бюджетных расходов на </w:t>
            </w:r>
            <w:r w:rsidR="002D64EC" w:rsidRPr="00147339">
              <w:t xml:space="preserve">реализацию новых норм по времени. </w:t>
            </w:r>
          </w:p>
        </w:tc>
        <w:tc>
          <w:tcPr>
            <w:tcW w:w="3087" w:type="dxa"/>
          </w:tcPr>
          <w:p w:rsidR="00176BDC" w:rsidRPr="00147339" w:rsidRDefault="001334CB">
            <w:r w:rsidRPr="00147339">
              <w:t xml:space="preserve">Новое предложение. </w:t>
            </w:r>
          </w:p>
          <w:p w:rsidR="001334CB" w:rsidRPr="00147339" w:rsidRDefault="001334CB">
            <w:r w:rsidRPr="00147339">
              <w:t>Нуждается в разработке и детализации</w:t>
            </w:r>
          </w:p>
        </w:tc>
      </w:tr>
      <w:tr w:rsidR="00D1441A" w:rsidRPr="007B516E" w:rsidTr="00C16FFE">
        <w:tc>
          <w:tcPr>
            <w:tcW w:w="546" w:type="dxa"/>
          </w:tcPr>
          <w:p w:rsidR="00D1441A" w:rsidRPr="00147339" w:rsidRDefault="00D1441A" w:rsidP="00F95E77">
            <w:r w:rsidRPr="00147339">
              <w:lastRenderedPageBreak/>
              <w:t>12</w:t>
            </w:r>
          </w:p>
        </w:tc>
        <w:tc>
          <w:tcPr>
            <w:tcW w:w="3673" w:type="dxa"/>
          </w:tcPr>
          <w:p w:rsidR="00D1441A" w:rsidRPr="00147339" w:rsidRDefault="00D1441A" w:rsidP="00F95E77">
            <w:r w:rsidRPr="00147339">
              <w:t xml:space="preserve">Часть лесного фонда, включенного в расчет пользования, является экономически недоступной по </w:t>
            </w:r>
            <w:r w:rsidR="00BA02CB" w:rsidRPr="00147339">
              <w:t xml:space="preserve">транспортным, природным и другим причинам, что ведет к переиспользованию </w:t>
            </w:r>
            <w:r w:rsidR="002A54D7" w:rsidRPr="00147339">
              <w:t xml:space="preserve">экономически доступной части и нарушению неистощительности лесопользования. </w:t>
            </w:r>
            <w:r w:rsidR="00111FDB" w:rsidRPr="00147339">
              <w:t>Корректный расчет экономической доступности может быть выполнен только для отдельного предприятия</w:t>
            </w:r>
          </w:p>
        </w:tc>
        <w:tc>
          <w:tcPr>
            <w:tcW w:w="4265" w:type="dxa"/>
          </w:tcPr>
          <w:p w:rsidR="00D1441A" w:rsidRPr="00147339" w:rsidRDefault="00156A43" w:rsidP="00F95E77">
            <w:r w:rsidRPr="00147339">
              <w:t>Перейти на определение расчетной лесосеки на уровне арендного участка (пп. 6,7).</w:t>
            </w:r>
          </w:p>
          <w:p w:rsidR="00156A43" w:rsidRPr="00147339" w:rsidRDefault="005F4388" w:rsidP="00F95E77">
            <w:r w:rsidRPr="00147339">
              <w:t>Разработать</w:t>
            </w:r>
            <w:r w:rsidR="00850252" w:rsidRPr="00147339">
              <w:t xml:space="preserve"> формальную</w:t>
            </w:r>
            <w:r w:rsidRPr="00147339">
              <w:t xml:space="preserve"> методику определения экономической доступности, </w:t>
            </w:r>
            <w:r w:rsidR="00850252" w:rsidRPr="00147339">
              <w:t xml:space="preserve">включая сбор необходимых данных по средним ценам, затратам, дорожной сети и пунктам сбыта на уровне </w:t>
            </w:r>
            <w:r w:rsidR="007B3551" w:rsidRPr="00147339">
              <w:t xml:space="preserve">региона и арендного участка и утвердить в качестве приложения к НПА. </w:t>
            </w:r>
          </w:p>
          <w:p w:rsidR="007B3551" w:rsidRPr="00147339" w:rsidRDefault="007B3551" w:rsidP="00F95E77">
            <w:r w:rsidRPr="00147339">
              <w:t xml:space="preserve">В силу </w:t>
            </w:r>
            <w:r w:rsidR="00E44D49" w:rsidRPr="00147339">
              <w:t xml:space="preserve">значительности изменений предусмотреть опытный период применения в пилотных регионах и для пилотных арендаторов и поэтапность </w:t>
            </w:r>
            <w:r w:rsidR="00462BCD" w:rsidRPr="00147339">
              <w:t>перехода на ее повсеместное применение</w:t>
            </w:r>
          </w:p>
        </w:tc>
        <w:tc>
          <w:tcPr>
            <w:tcW w:w="3543" w:type="dxa"/>
          </w:tcPr>
          <w:p w:rsidR="00D1441A" w:rsidRPr="00147339" w:rsidRDefault="00731388">
            <w:r w:rsidRPr="00147339">
              <w:t xml:space="preserve">Улучшение условий выполнения неистощительности. </w:t>
            </w:r>
            <w:r w:rsidR="00906263" w:rsidRPr="00147339">
              <w:t>Уточнение оценки запасов доступных лесных насаждений и стимулирование транспортного развития экономически недоступных</w:t>
            </w:r>
          </w:p>
        </w:tc>
        <w:tc>
          <w:tcPr>
            <w:tcW w:w="3087" w:type="dxa"/>
          </w:tcPr>
          <w:p w:rsidR="00D1441A" w:rsidRPr="00147339" w:rsidRDefault="00142901">
            <w:r w:rsidRPr="00147339">
              <w:t xml:space="preserve">Концептуальные основы разработаны в рамках НИР. Требуется формализация и детализация в виде </w:t>
            </w:r>
            <w:r w:rsidR="00BF5E4D" w:rsidRPr="00147339">
              <w:t>нормативного документа</w:t>
            </w:r>
            <w:bookmarkStart w:id="0" w:name="_GoBack"/>
            <w:bookmarkEnd w:id="0"/>
          </w:p>
        </w:tc>
      </w:tr>
    </w:tbl>
    <w:p w:rsidR="00192181" w:rsidRDefault="00192181"/>
    <w:p w:rsidR="00F8720D" w:rsidRDefault="00F8720D"/>
    <w:p w:rsidR="00F8720D" w:rsidRDefault="00F8720D"/>
    <w:sectPr w:rsidR="00F8720D" w:rsidSect="001921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437F5"/>
    <w:multiLevelType w:val="hybridMultilevel"/>
    <w:tmpl w:val="ED06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720D"/>
    <w:rsid w:val="0001349A"/>
    <w:rsid w:val="00042350"/>
    <w:rsid w:val="00111FDB"/>
    <w:rsid w:val="001334CB"/>
    <w:rsid w:val="00142901"/>
    <w:rsid w:val="00147339"/>
    <w:rsid w:val="00156A43"/>
    <w:rsid w:val="00176BDC"/>
    <w:rsid w:val="00192181"/>
    <w:rsid w:val="001B6919"/>
    <w:rsid w:val="00255F32"/>
    <w:rsid w:val="002A54D7"/>
    <w:rsid w:val="002D64EC"/>
    <w:rsid w:val="00383E42"/>
    <w:rsid w:val="004478D7"/>
    <w:rsid w:val="00462BCD"/>
    <w:rsid w:val="00480BFD"/>
    <w:rsid w:val="00532B64"/>
    <w:rsid w:val="005963BB"/>
    <w:rsid w:val="005F385E"/>
    <w:rsid w:val="005F4388"/>
    <w:rsid w:val="005F505C"/>
    <w:rsid w:val="00731388"/>
    <w:rsid w:val="007603D1"/>
    <w:rsid w:val="007B3551"/>
    <w:rsid w:val="007B516E"/>
    <w:rsid w:val="00850252"/>
    <w:rsid w:val="008C025C"/>
    <w:rsid w:val="00906263"/>
    <w:rsid w:val="0092570B"/>
    <w:rsid w:val="009B68CB"/>
    <w:rsid w:val="00A03CE1"/>
    <w:rsid w:val="00A1740B"/>
    <w:rsid w:val="00A47C5C"/>
    <w:rsid w:val="00A82ECB"/>
    <w:rsid w:val="00A9219C"/>
    <w:rsid w:val="00AB7003"/>
    <w:rsid w:val="00AE5F0B"/>
    <w:rsid w:val="00B64D8B"/>
    <w:rsid w:val="00B776CE"/>
    <w:rsid w:val="00BA02CB"/>
    <w:rsid w:val="00BE6693"/>
    <w:rsid w:val="00BF5E4D"/>
    <w:rsid w:val="00C16FFE"/>
    <w:rsid w:val="00C179E3"/>
    <w:rsid w:val="00C20EA7"/>
    <w:rsid w:val="00CF207D"/>
    <w:rsid w:val="00D020B3"/>
    <w:rsid w:val="00D1441A"/>
    <w:rsid w:val="00D74456"/>
    <w:rsid w:val="00DE23E1"/>
    <w:rsid w:val="00E44D49"/>
    <w:rsid w:val="00EE1692"/>
    <w:rsid w:val="00F636D2"/>
    <w:rsid w:val="00F8720D"/>
    <w:rsid w:val="00F9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A898-7C58-492E-B7C0-A7ACE958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2019-03-14T13:28:00Z</dcterms:created>
  <dcterms:modified xsi:type="dcterms:W3CDTF">2019-03-14T13:28:00Z</dcterms:modified>
</cp:coreProperties>
</file>